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27E9" w14:textId="2647D672" w:rsidR="005F0F0F" w:rsidRPr="00FA4D68" w:rsidRDefault="00F42DE5" w:rsidP="009847E1">
      <w:pPr>
        <w:pStyle w:val="Nadpis2"/>
        <w:spacing w:before="0"/>
        <w:jc w:val="both"/>
        <w:rPr>
          <w:sz w:val="28"/>
          <w:szCs w:val="28"/>
        </w:rPr>
      </w:pPr>
      <w:r w:rsidRPr="00FA4D68">
        <w:rPr>
          <w:sz w:val="28"/>
          <w:szCs w:val="28"/>
        </w:rPr>
        <w:t>Integrovaný regionální operační program rozdělil v roce 2022 dvě třetiny peněz krajům a obcím, privátním subjektům šlo pouze 6 % prostředků</w:t>
      </w:r>
    </w:p>
    <w:p w14:paraId="729C1275" w14:textId="77777777" w:rsidR="00E32288" w:rsidRPr="00E32288" w:rsidRDefault="00E32288" w:rsidP="00E32288">
      <w:pPr>
        <w:spacing w:after="0"/>
      </w:pPr>
    </w:p>
    <w:p w14:paraId="12B9B1F4" w14:textId="6BCDDE41" w:rsidR="00991DD8" w:rsidRPr="000834FC" w:rsidRDefault="00172707" w:rsidP="00E32288">
      <w:pPr>
        <w:spacing w:after="0"/>
        <w:jc w:val="both"/>
        <w:rPr>
          <w:rFonts w:ascii="Arial" w:hAnsi="Arial" w:cs="Arial"/>
          <w:b/>
          <w:bCs/>
        </w:rPr>
      </w:pPr>
      <w:r w:rsidRPr="000834FC">
        <w:rPr>
          <w:rFonts w:ascii="Arial" w:hAnsi="Arial" w:cs="Arial"/>
          <w:bCs/>
        </w:rPr>
        <w:t xml:space="preserve">Praha </w:t>
      </w:r>
      <w:r w:rsidR="00FA4D68" w:rsidRPr="000834FC">
        <w:rPr>
          <w:rFonts w:ascii="Arial" w:hAnsi="Arial" w:cs="Arial"/>
          <w:bCs/>
        </w:rPr>
        <w:t>1</w:t>
      </w:r>
      <w:r w:rsidR="007E186B">
        <w:rPr>
          <w:rFonts w:ascii="Arial" w:hAnsi="Arial" w:cs="Arial"/>
          <w:bCs/>
        </w:rPr>
        <w:t>7</w:t>
      </w:r>
      <w:r w:rsidR="00FA4D68" w:rsidRPr="000834FC">
        <w:rPr>
          <w:rFonts w:ascii="Arial" w:hAnsi="Arial" w:cs="Arial"/>
          <w:bCs/>
        </w:rPr>
        <w:t>.1.</w:t>
      </w:r>
      <w:r w:rsidR="00815648" w:rsidRPr="000834FC">
        <w:rPr>
          <w:rFonts w:ascii="Arial" w:hAnsi="Arial" w:cs="Arial"/>
          <w:b/>
          <w:bCs/>
        </w:rPr>
        <w:t xml:space="preserve"> –</w:t>
      </w:r>
      <w:r w:rsidR="00F42DE5" w:rsidRPr="000834FC">
        <w:rPr>
          <w:rFonts w:ascii="Arial" w:hAnsi="Arial" w:cs="Arial"/>
          <w:b/>
          <w:bCs/>
        </w:rPr>
        <w:t xml:space="preserve"> Postupné uzavírání největšího evropského dotačního pr</w:t>
      </w:r>
      <w:r w:rsidR="00FA4D68" w:rsidRPr="000834FC">
        <w:rPr>
          <w:rFonts w:ascii="Arial" w:hAnsi="Arial" w:cs="Arial"/>
          <w:b/>
          <w:bCs/>
        </w:rPr>
        <w:t>ogramu</w:t>
      </w:r>
      <w:r w:rsidR="00F42DE5" w:rsidRPr="000834FC">
        <w:rPr>
          <w:rFonts w:ascii="Arial" w:hAnsi="Arial" w:cs="Arial"/>
          <w:b/>
          <w:bCs/>
        </w:rPr>
        <w:t xml:space="preserve"> </w:t>
      </w:r>
      <w:r w:rsidR="00FA4D68" w:rsidRPr="000834FC">
        <w:rPr>
          <w:rFonts w:ascii="Arial" w:hAnsi="Arial" w:cs="Arial"/>
          <w:b/>
          <w:bCs/>
        </w:rPr>
        <w:t xml:space="preserve">v ČR pro </w:t>
      </w:r>
      <w:r w:rsidR="00F42DE5" w:rsidRPr="000834FC">
        <w:rPr>
          <w:rFonts w:ascii="Arial" w:hAnsi="Arial" w:cs="Arial"/>
          <w:b/>
          <w:bCs/>
        </w:rPr>
        <w:t>programové období 2014</w:t>
      </w:r>
      <w:r w:rsidR="00FA4D68" w:rsidRPr="000834FC">
        <w:rPr>
          <w:rFonts w:ascii="Arial" w:hAnsi="Arial" w:cs="Arial"/>
          <w:b/>
          <w:bCs/>
        </w:rPr>
        <w:t>-</w:t>
      </w:r>
      <w:r w:rsidR="00F42DE5" w:rsidRPr="000834FC">
        <w:rPr>
          <w:rFonts w:ascii="Arial" w:hAnsi="Arial" w:cs="Arial"/>
          <w:b/>
          <w:bCs/>
        </w:rPr>
        <w:t xml:space="preserve">2020 přináší zajímavé statistiky. Ukazuje, jak </w:t>
      </w:r>
      <w:r w:rsidR="00FA4D68" w:rsidRPr="000834FC">
        <w:rPr>
          <w:rFonts w:ascii="Arial" w:hAnsi="Arial" w:cs="Arial"/>
          <w:b/>
          <w:bCs/>
        </w:rPr>
        <w:t>důležitým</w:t>
      </w:r>
      <w:r w:rsidR="00F42DE5" w:rsidRPr="000834FC">
        <w:rPr>
          <w:rFonts w:ascii="Arial" w:hAnsi="Arial" w:cs="Arial"/>
          <w:b/>
          <w:bCs/>
        </w:rPr>
        <w:t xml:space="preserve"> zdrojem financí je p</w:t>
      </w:r>
      <w:r w:rsidR="000834FC">
        <w:rPr>
          <w:rFonts w:ascii="Arial" w:hAnsi="Arial" w:cs="Arial"/>
          <w:b/>
          <w:bCs/>
        </w:rPr>
        <w:t>ro kraje a obce. J</w:t>
      </w:r>
      <w:r w:rsidR="00F42DE5" w:rsidRPr="000834FC">
        <w:rPr>
          <w:rFonts w:ascii="Arial" w:hAnsi="Arial" w:cs="Arial"/>
          <w:b/>
          <w:bCs/>
        </w:rPr>
        <w:t xml:space="preserve">en v minulém roce </w:t>
      </w:r>
      <w:r w:rsidR="000834FC">
        <w:rPr>
          <w:rFonts w:ascii="Arial" w:hAnsi="Arial" w:cs="Arial"/>
          <w:b/>
          <w:bCs/>
        </w:rPr>
        <w:t xml:space="preserve">inkasovaly </w:t>
      </w:r>
      <w:r w:rsidR="00766024" w:rsidRPr="000834FC">
        <w:rPr>
          <w:rFonts w:ascii="Arial" w:hAnsi="Arial" w:cs="Arial"/>
          <w:b/>
          <w:bCs/>
        </w:rPr>
        <w:t>přes</w:t>
      </w:r>
      <w:r w:rsidR="00F42DE5" w:rsidRPr="000834FC">
        <w:rPr>
          <w:rFonts w:ascii="Arial" w:hAnsi="Arial" w:cs="Arial"/>
          <w:b/>
          <w:bCs/>
        </w:rPr>
        <w:t xml:space="preserve"> 13 m</w:t>
      </w:r>
      <w:r w:rsidR="000834FC">
        <w:rPr>
          <w:rFonts w:ascii="Arial" w:hAnsi="Arial" w:cs="Arial"/>
          <w:b/>
          <w:bCs/>
        </w:rPr>
        <w:t>iliard</w:t>
      </w:r>
      <w:r w:rsidR="00F42DE5" w:rsidRPr="000834FC">
        <w:rPr>
          <w:rFonts w:ascii="Arial" w:hAnsi="Arial" w:cs="Arial"/>
          <w:b/>
          <w:bCs/>
        </w:rPr>
        <w:t xml:space="preserve"> </w:t>
      </w:r>
      <w:r w:rsidR="000834FC">
        <w:rPr>
          <w:rFonts w:ascii="Arial" w:hAnsi="Arial" w:cs="Arial"/>
          <w:b/>
          <w:bCs/>
        </w:rPr>
        <w:t>Kč</w:t>
      </w:r>
      <w:r w:rsidR="00FA4D68" w:rsidRPr="000834FC">
        <w:rPr>
          <w:rFonts w:ascii="Arial" w:hAnsi="Arial" w:cs="Arial"/>
          <w:b/>
          <w:bCs/>
        </w:rPr>
        <w:t xml:space="preserve">. </w:t>
      </w:r>
      <w:r w:rsidR="000834FC">
        <w:rPr>
          <w:rFonts w:ascii="Arial" w:hAnsi="Arial" w:cs="Arial"/>
          <w:b/>
          <w:bCs/>
        </w:rPr>
        <w:t>Další t</w:t>
      </w:r>
      <w:r w:rsidR="00FA4D68" w:rsidRPr="000834FC">
        <w:rPr>
          <w:rFonts w:ascii="Arial" w:hAnsi="Arial" w:cs="Arial"/>
          <w:b/>
          <w:bCs/>
        </w:rPr>
        <w:t>éměř tři miliardy</w:t>
      </w:r>
      <w:r w:rsidR="00F42DE5" w:rsidRPr="000834FC">
        <w:rPr>
          <w:rFonts w:ascii="Arial" w:hAnsi="Arial" w:cs="Arial"/>
          <w:b/>
          <w:bCs/>
        </w:rPr>
        <w:t xml:space="preserve"> zamířily do organizačních složek státu (</w:t>
      </w:r>
      <w:r w:rsidR="00FA4D68" w:rsidRPr="000834FC">
        <w:rPr>
          <w:rFonts w:ascii="Arial" w:hAnsi="Arial" w:cs="Arial"/>
          <w:b/>
          <w:bCs/>
        </w:rPr>
        <w:t xml:space="preserve">jde </w:t>
      </w:r>
      <w:r w:rsidR="00F42DE5" w:rsidRPr="000834FC">
        <w:rPr>
          <w:rFonts w:ascii="Arial" w:hAnsi="Arial" w:cs="Arial"/>
          <w:b/>
          <w:bCs/>
        </w:rPr>
        <w:t xml:space="preserve">např. </w:t>
      </w:r>
      <w:r w:rsidR="00FA4D68" w:rsidRPr="000834FC">
        <w:rPr>
          <w:rFonts w:ascii="Arial" w:hAnsi="Arial" w:cs="Arial"/>
          <w:b/>
          <w:bCs/>
        </w:rPr>
        <w:t xml:space="preserve">o </w:t>
      </w:r>
      <w:r w:rsidR="00F42DE5" w:rsidRPr="000834FC">
        <w:rPr>
          <w:rFonts w:ascii="Arial" w:hAnsi="Arial" w:cs="Arial"/>
          <w:b/>
          <w:bCs/>
        </w:rPr>
        <w:t>hasičský</w:t>
      </w:r>
      <w:r w:rsidR="00FF0081" w:rsidRPr="000834FC">
        <w:rPr>
          <w:rFonts w:ascii="Arial" w:hAnsi="Arial" w:cs="Arial"/>
          <w:b/>
          <w:bCs/>
        </w:rPr>
        <w:t xml:space="preserve"> záchranný</w:t>
      </w:r>
      <w:r w:rsidR="00FA4D68" w:rsidRPr="000834FC">
        <w:rPr>
          <w:rFonts w:ascii="Arial" w:hAnsi="Arial" w:cs="Arial"/>
          <w:b/>
          <w:bCs/>
        </w:rPr>
        <w:t xml:space="preserve"> sbor). Celkově získali příjemci z IROP v minulém roce přes 20 mld. Kč. </w:t>
      </w:r>
    </w:p>
    <w:p w14:paraId="7C20A9F9" w14:textId="77777777" w:rsidR="00E32288" w:rsidRPr="00FA4D68" w:rsidRDefault="00E32288" w:rsidP="00815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C2896E" w14:textId="4D8B641B" w:rsidR="00D56C61" w:rsidRPr="000834FC" w:rsidRDefault="00F42DE5" w:rsidP="00815648">
      <w:pPr>
        <w:spacing w:after="0" w:line="240" w:lineRule="auto"/>
        <w:jc w:val="both"/>
        <w:rPr>
          <w:rFonts w:ascii="Arial" w:hAnsi="Arial" w:cs="Arial"/>
        </w:rPr>
      </w:pPr>
      <w:r w:rsidRPr="000834FC">
        <w:rPr>
          <w:rFonts w:ascii="Arial" w:hAnsi="Arial" w:cs="Arial"/>
        </w:rPr>
        <w:t>Integrovaný regionální operační program z let 2014 až 2020</w:t>
      </w:r>
      <w:r w:rsidR="00FF0081" w:rsidRPr="000834FC">
        <w:rPr>
          <w:rFonts w:ascii="Arial" w:hAnsi="Arial" w:cs="Arial"/>
        </w:rPr>
        <w:t xml:space="preserve"> nebyl dosud uzavřen</w:t>
      </w:r>
      <w:r w:rsidR="000834FC">
        <w:rPr>
          <w:rFonts w:ascii="Arial" w:hAnsi="Arial" w:cs="Arial"/>
        </w:rPr>
        <w:t>, protože do něj v roce 2021 přibylo 28,1 mld. Kč pro nemocnice, sociální oblast</w:t>
      </w:r>
      <w:r w:rsidR="005D00AD">
        <w:rPr>
          <w:rFonts w:ascii="Arial" w:hAnsi="Arial" w:cs="Arial"/>
        </w:rPr>
        <w:t>, hygienické stanice a složky IZS</w:t>
      </w:r>
      <w:r w:rsidR="000834FC">
        <w:rPr>
          <w:rFonts w:ascii="Arial" w:hAnsi="Arial" w:cs="Arial"/>
        </w:rPr>
        <w:t xml:space="preserve"> v reakci na pandemii Covid-19. IROP tak celkem rozdělí 145 mld. Kč. </w:t>
      </w:r>
      <w:r w:rsidRPr="000834FC">
        <w:rPr>
          <w:rFonts w:ascii="Arial" w:hAnsi="Arial" w:cs="Arial"/>
        </w:rPr>
        <w:t xml:space="preserve">Centrum pro regionální rozvoj, </w:t>
      </w:r>
      <w:r w:rsidR="00143FBD">
        <w:rPr>
          <w:rFonts w:ascii="Arial" w:hAnsi="Arial" w:cs="Arial"/>
        </w:rPr>
        <w:t xml:space="preserve">které má spolu </w:t>
      </w:r>
      <w:r w:rsidR="00785FF2">
        <w:rPr>
          <w:rFonts w:ascii="Arial" w:hAnsi="Arial" w:cs="Arial"/>
        </w:rPr>
        <w:t>s Ministerstvem pro místní rozvoj</w:t>
      </w:r>
      <w:r w:rsidRPr="000834FC">
        <w:rPr>
          <w:rFonts w:ascii="Arial" w:hAnsi="Arial" w:cs="Arial"/>
        </w:rPr>
        <w:t xml:space="preserve"> </w:t>
      </w:r>
      <w:r w:rsidR="00043AFF">
        <w:rPr>
          <w:rFonts w:ascii="Arial" w:hAnsi="Arial" w:cs="Arial"/>
        </w:rPr>
        <w:t>ČR</w:t>
      </w:r>
      <w:r w:rsidR="008C5207">
        <w:rPr>
          <w:rFonts w:ascii="Arial" w:hAnsi="Arial" w:cs="Arial"/>
        </w:rPr>
        <w:t xml:space="preserve"> </w:t>
      </w:r>
      <w:r w:rsidRPr="000834FC">
        <w:rPr>
          <w:rFonts w:ascii="Arial" w:hAnsi="Arial" w:cs="Arial"/>
        </w:rPr>
        <w:t xml:space="preserve">program na starosti, se tak dostalo do situace, kdy </w:t>
      </w:r>
      <w:r w:rsidR="00FA4D68" w:rsidRPr="000834FC">
        <w:rPr>
          <w:rFonts w:ascii="Arial" w:hAnsi="Arial" w:cs="Arial"/>
        </w:rPr>
        <w:t xml:space="preserve">ještě </w:t>
      </w:r>
      <w:r w:rsidRPr="000834FC">
        <w:rPr>
          <w:rFonts w:ascii="Arial" w:hAnsi="Arial" w:cs="Arial"/>
        </w:rPr>
        <w:t>dobíhají velké projekty právě z tohoto programu a zároveň se v minulém roce naplno rozb</w:t>
      </w:r>
      <w:r w:rsidR="000834FC">
        <w:rPr>
          <w:rFonts w:ascii="Arial" w:hAnsi="Arial" w:cs="Arial"/>
        </w:rPr>
        <w:t xml:space="preserve">ěhl IROP </w:t>
      </w:r>
      <w:r w:rsidR="00E97D53">
        <w:rPr>
          <w:rFonts w:ascii="Arial" w:hAnsi="Arial" w:cs="Arial"/>
        </w:rPr>
        <w:t xml:space="preserve">na </w:t>
      </w:r>
      <w:r w:rsidR="000834FC">
        <w:rPr>
          <w:rFonts w:ascii="Arial" w:hAnsi="Arial" w:cs="Arial"/>
        </w:rPr>
        <w:t xml:space="preserve">léta 2021 až 2027, který má pro žadatele připraveno kolem 117 mld. Kč. </w:t>
      </w:r>
    </w:p>
    <w:p w14:paraId="1D1979CE" w14:textId="75629BB0" w:rsidR="00F42DE5" w:rsidRPr="000834FC" w:rsidRDefault="00F42DE5" w:rsidP="00815648">
      <w:pPr>
        <w:spacing w:after="0" w:line="240" w:lineRule="auto"/>
        <w:jc w:val="both"/>
        <w:rPr>
          <w:rFonts w:ascii="Arial" w:hAnsi="Arial" w:cs="Arial"/>
        </w:rPr>
      </w:pPr>
    </w:p>
    <w:p w14:paraId="62FBB68E" w14:textId="778C2C9B" w:rsidR="00F42DE5" w:rsidRPr="000834FC" w:rsidRDefault="00F42DE5" w:rsidP="00815648">
      <w:pPr>
        <w:spacing w:after="0" w:line="240" w:lineRule="auto"/>
        <w:jc w:val="both"/>
        <w:rPr>
          <w:rFonts w:ascii="Arial" w:hAnsi="Arial" w:cs="Arial"/>
        </w:rPr>
      </w:pPr>
      <w:r w:rsidRPr="000834FC">
        <w:rPr>
          <w:rFonts w:ascii="Arial" w:hAnsi="Arial" w:cs="Arial"/>
          <w:i/>
          <w:iCs/>
        </w:rPr>
        <w:t xml:space="preserve">„Podle </w:t>
      </w:r>
      <w:r w:rsidR="000834FC">
        <w:rPr>
          <w:rFonts w:ascii="Arial" w:hAnsi="Arial" w:cs="Arial"/>
          <w:i/>
          <w:iCs/>
        </w:rPr>
        <w:t xml:space="preserve">celkového </w:t>
      </w:r>
      <w:r w:rsidRPr="000834FC">
        <w:rPr>
          <w:rFonts w:ascii="Arial" w:hAnsi="Arial" w:cs="Arial"/>
          <w:i/>
          <w:iCs/>
        </w:rPr>
        <w:t xml:space="preserve">počtu schválených žádostí a uvolněných peněz v roce 2022 však můžeme jednoznačně tvrdit, že stíháme, aniž bychom </w:t>
      </w:r>
      <w:r w:rsidR="00A97D48" w:rsidRPr="000834FC">
        <w:rPr>
          <w:rFonts w:ascii="Arial" w:hAnsi="Arial" w:cs="Arial"/>
          <w:i/>
          <w:iCs/>
        </w:rPr>
        <w:t xml:space="preserve">jakkoliv </w:t>
      </w:r>
      <w:r w:rsidRPr="000834FC">
        <w:rPr>
          <w:rFonts w:ascii="Arial" w:hAnsi="Arial" w:cs="Arial"/>
          <w:i/>
          <w:iCs/>
        </w:rPr>
        <w:t xml:space="preserve">snižovali kvalitu </w:t>
      </w:r>
      <w:r w:rsidR="00E97D53">
        <w:rPr>
          <w:rFonts w:ascii="Arial" w:hAnsi="Arial" w:cs="Arial"/>
          <w:i/>
          <w:iCs/>
        </w:rPr>
        <w:t>své</w:t>
      </w:r>
      <w:r w:rsidR="00E97D53" w:rsidRPr="000834FC">
        <w:rPr>
          <w:rFonts w:ascii="Arial" w:hAnsi="Arial" w:cs="Arial"/>
          <w:i/>
          <w:iCs/>
        </w:rPr>
        <w:t xml:space="preserve"> </w:t>
      </w:r>
      <w:r w:rsidRPr="000834FC">
        <w:rPr>
          <w:rFonts w:ascii="Arial" w:hAnsi="Arial" w:cs="Arial"/>
          <w:i/>
          <w:iCs/>
        </w:rPr>
        <w:t xml:space="preserve">práce. Vloni odešlo úspěšným žadatelům </w:t>
      </w:r>
      <w:r w:rsidR="00C04981" w:rsidRPr="000834FC">
        <w:rPr>
          <w:rFonts w:ascii="Arial" w:hAnsi="Arial" w:cs="Arial"/>
          <w:i/>
          <w:iCs/>
        </w:rPr>
        <w:t xml:space="preserve">více než </w:t>
      </w:r>
      <w:r w:rsidR="003D0D5B" w:rsidRPr="000834FC">
        <w:rPr>
          <w:rFonts w:ascii="Arial" w:hAnsi="Arial" w:cs="Arial"/>
          <w:i/>
          <w:iCs/>
        </w:rPr>
        <w:t>20</w:t>
      </w:r>
      <w:r w:rsidRPr="000834FC">
        <w:rPr>
          <w:rFonts w:ascii="Arial" w:hAnsi="Arial" w:cs="Arial"/>
          <w:i/>
          <w:iCs/>
        </w:rPr>
        <w:t xml:space="preserve"> m</w:t>
      </w:r>
      <w:r w:rsidR="00A97D48" w:rsidRPr="000834FC">
        <w:rPr>
          <w:rFonts w:ascii="Arial" w:hAnsi="Arial" w:cs="Arial"/>
          <w:i/>
          <w:iCs/>
        </w:rPr>
        <w:t>iliard</w:t>
      </w:r>
      <w:r w:rsidRPr="000834FC">
        <w:rPr>
          <w:rFonts w:ascii="Arial" w:hAnsi="Arial" w:cs="Arial"/>
          <w:i/>
          <w:iCs/>
        </w:rPr>
        <w:t xml:space="preserve"> </w:t>
      </w:r>
      <w:r w:rsidR="00A97D48" w:rsidRPr="000834FC">
        <w:rPr>
          <w:rFonts w:ascii="Arial" w:hAnsi="Arial" w:cs="Arial"/>
          <w:i/>
          <w:iCs/>
        </w:rPr>
        <w:t>korun</w:t>
      </w:r>
      <w:r w:rsidRPr="000834FC">
        <w:rPr>
          <w:rFonts w:ascii="Arial" w:hAnsi="Arial" w:cs="Arial"/>
          <w:i/>
          <w:iCs/>
        </w:rPr>
        <w:t xml:space="preserve">, jen za poslední </w:t>
      </w:r>
      <w:r w:rsidR="003D0D5B" w:rsidRPr="000834FC">
        <w:rPr>
          <w:rFonts w:ascii="Arial" w:hAnsi="Arial" w:cs="Arial"/>
          <w:i/>
          <w:iCs/>
        </w:rPr>
        <w:t xml:space="preserve">tři </w:t>
      </w:r>
      <w:r w:rsidRPr="000834FC">
        <w:rPr>
          <w:rFonts w:ascii="Arial" w:hAnsi="Arial" w:cs="Arial"/>
          <w:i/>
          <w:iCs/>
        </w:rPr>
        <w:t>měsíc</w:t>
      </w:r>
      <w:r w:rsidR="003D0D5B" w:rsidRPr="000834FC">
        <w:rPr>
          <w:rFonts w:ascii="Arial" w:hAnsi="Arial" w:cs="Arial"/>
          <w:i/>
          <w:iCs/>
        </w:rPr>
        <w:t>e</w:t>
      </w:r>
      <w:r w:rsidRPr="000834FC">
        <w:rPr>
          <w:rFonts w:ascii="Arial" w:hAnsi="Arial" w:cs="Arial"/>
          <w:i/>
          <w:iCs/>
        </w:rPr>
        <w:t xml:space="preserve"> to byl</w:t>
      </w:r>
      <w:r w:rsidR="003D0D5B" w:rsidRPr="000834FC">
        <w:rPr>
          <w:rFonts w:ascii="Arial" w:hAnsi="Arial" w:cs="Arial"/>
          <w:i/>
          <w:iCs/>
        </w:rPr>
        <w:t>o</w:t>
      </w:r>
      <w:r w:rsidRPr="000834FC">
        <w:rPr>
          <w:rFonts w:ascii="Arial" w:hAnsi="Arial" w:cs="Arial"/>
          <w:i/>
          <w:iCs/>
        </w:rPr>
        <w:t xml:space="preserve"> </w:t>
      </w:r>
      <w:r w:rsidR="003D0D5B" w:rsidRPr="000834FC">
        <w:rPr>
          <w:rFonts w:ascii="Arial" w:hAnsi="Arial" w:cs="Arial"/>
          <w:i/>
          <w:iCs/>
        </w:rPr>
        <w:t xml:space="preserve">přes </w:t>
      </w:r>
      <w:r w:rsidR="003525C4" w:rsidRPr="000834FC">
        <w:rPr>
          <w:rFonts w:ascii="Arial" w:hAnsi="Arial" w:cs="Arial"/>
          <w:i/>
          <w:iCs/>
        </w:rPr>
        <w:t>6</w:t>
      </w:r>
      <w:r w:rsidRPr="000834FC">
        <w:rPr>
          <w:rFonts w:ascii="Arial" w:hAnsi="Arial" w:cs="Arial"/>
          <w:i/>
          <w:iCs/>
        </w:rPr>
        <w:t xml:space="preserve"> miliard</w:t>
      </w:r>
      <w:r w:rsidR="00A97D48" w:rsidRPr="000834FC">
        <w:rPr>
          <w:rFonts w:ascii="Arial" w:hAnsi="Arial" w:cs="Arial"/>
          <w:i/>
          <w:iCs/>
        </w:rPr>
        <w:t>. Šlo celkem o 2 </w:t>
      </w:r>
      <w:r w:rsidR="00F2798C" w:rsidRPr="000834FC">
        <w:rPr>
          <w:rFonts w:ascii="Arial" w:hAnsi="Arial" w:cs="Arial"/>
          <w:i/>
          <w:iCs/>
        </w:rPr>
        <w:t>724</w:t>
      </w:r>
      <w:r w:rsidR="00A97D48" w:rsidRPr="000834FC">
        <w:rPr>
          <w:rFonts w:ascii="Arial" w:hAnsi="Arial" w:cs="Arial"/>
          <w:i/>
          <w:iCs/>
        </w:rPr>
        <w:t xml:space="preserve"> </w:t>
      </w:r>
      <w:r w:rsidR="00FA4D68" w:rsidRPr="000834FC">
        <w:rPr>
          <w:rFonts w:ascii="Arial" w:hAnsi="Arial" w:cs="Arial"/>
          <w:i/>
          <w:iCs/>
        </w:rPr>
        <w:t>žádostí o platbu</w:t>
      </w:r>
      <w:r w:rsidR="00A97D48" w:rsidRPr="000834FC">
        <w:rPr>
          <w:rFonts w:ascii="Arial" w:hAnsi="Arial" w:cs="Arial"/>
          <w:i/>
          <w:iCs/>
        </w:rPr>
        <w:t>, které jsme museli posoudit a úspěšně odbavit</w:t>
      </w:r>
      <w:r w:rsidRPr="000834FC">
        <w:rPr>
          <w:rFonts w:ascii="Arial" w:hAnsi="Arial" w:cs="Arial"/>
          <w:i/>
          <w:iCs/>
        </w:rPr>
        <w:t>,“</w:t>
      </w:r>
      <w:r w:rsidRPr="000834FC">
        <w:rPr>
          <w:rFonts w:ascii="Arial" w:hAnsi="Arial" w:cs="Arial"/>
        </w:rPr>
        <w:t xml:space="preserve"> říká Zdeněk Vašák, generální ředitel Centra</w:t>
      </w:r>
      <w:r w:rsidR="004F75DD">
        <w:rPr>
          <w:rFonts w:ascii="Arial" w:hAnsi="Arial" w:cs="Arial"/>
        </w:rPr>
        <w:t xml:space="preserve"> pro regionální rozvoj ČR</w:t>
      </w:r>
      <w:r w:rsidRPr="000834FC">
        <w:rPr>
          <w:rFonts w:ascii="Arial" w:hAnsi="Arial" w:cs="Arial"/>
        </w:rPr>
        <w:t xml:space="preserve">. </w:t>
      </w:r>
    </w:p>
    <w:p w14:paraId="46F377C2" w14:textId="05462DEA" w:rsidR="00F42DE5" w:rsidRPr="000834FC" w:rsidRDefault="00F42DE5" w:rsidP="00815648">
      <w:pPr>
        <w:spacing w:after="0" w:line="240" w:lineRule="auto"/>
        <w:jc w:val="both"/>
        <w:rPr>
          <w:rFonts w:ascii="Arial" w:hAnsi="Arial" w:cs="Arial"/>
        </w:rPr>
      </w:pPr>
    </w:p>
    <w:p w14:paraId="78363512" w14:textId="495A3C92" w:rsidR="009F19C1" w:rsidRPr="000834FC" w:rsidRDefault="00A97D48" w:rsidP="00815648">
      <w:pPr>
        <w:spacing w:after="0" w:line="240" w:lineRule="auto"/>
        <w:jc w:val="both"/>
        <w:rPr>
          <w:rFonts w:ascii="Arial" w:hAnsi="Arial" w:cs="Arial"/>
        </w:rPr>
      </w:pPr>
      <w:r w:rsidRPr="000834FC">
        <w:rPr>
          <w:rFonts w:ascii="Arial" w:hAnsi="Arial" w:cs="Arial"/>
        </w:rPr>
        <w:t>Následující tabulka ukazuje rozdělení reálně vyplacených prostředků podle t</w:t>
      </w:r>
      <w:r w:rsidR="00FA4D68" w:rsidRPr="000834FC">
        <w:rPr>
          <w:rFonts w:ascii="Arial" w:hAnsi="Arial" w:cs="Arial"/>
        </w:rPr>
        <w:t>ypu subjektů. E</w:t>
      </w:r>
      <w:r w:rsidRPr="000834FC">
        <w:rPr>
          <w:rFonts w:ascii="Arial" w:hAnsi="Arial" w:cs="Arial"/>
        </w:rPr>
        <w:t xml:space="preserve">vropské peníze mířily především do investic, které </w:t>
      </w:r>
      <w:r w:rsidR="00311C3E">
        <w:rPr>
          <w:rFonts w:ascii="Arial" w:hAnsi="Arial" w:cs="Arial"/>
        </w:rPr>
        <w:t>realizují</w:t>
      </w:r>
      <w:r w:rsidRPr="000834FC">
        <w:rPr>
          <w:rFonts w:ascii="Arial" w:hAnsi="Arial" w:cs="Arial"/>
        </w:rPr>
        <w:t xml:space="preserve"> kraje a obce. </w:t>
      </w:r>
    </w:p>
    <w:p w14:paraId="63A2E121" w14:textId="77777777" w:rsidR="00E32288" w:rsidRPr="000834FC" w:rsidRDefault="00E32288" w:rsidP="00AE14B1">
      <w:pPr>
        <w:spacing w:after="0" w:line="240" w:lineRule="auto"/>
        <w:jc w:val="both"/>
        <w:rPr>
          <w:rFonts w:ascii="Arial" w:hAnsi="Arial" w:cs="Arial"/>
          <w:b/>
        </w:rPr>
      </w:pPr>
    </w:p>
    <w:p w14:paraId="79EB3ABD" w14:textId="30499FE3" w:rsidR="005F0F0F" w:rsidRPr="000834FC" w:rsidRDefault="00D56C61" w:rsidP="00AE14B1">
      <w:pPr>
        <w:spacing w:after="0" w:line="240" w:lineRule="auto"/>
        <w:jc w:val="both"/>
        <w:rPr>
          <w:rFonts w:ascii="Arial" w:hAnsi="Arial" w:cs="Arial"/>
          <w:b/>
        </w:rPr>
      </w:pPr>
      <w:r w:rsidRPr="000834FC">
        <w:rPr>
          <w:rFonts w:ascii="Arial" w:hAnsi="Arial" w:cs="Arial"/>
          <w:b/>
        </w:rPr>
        <w:t xml:space="preserve">Tabulka: </w:t>
      </w:r>
      <w:r w:rsidR="00A97D48" w:rsidRPr="000834FC">
        <w:rPr>
          <w:rFonts w:ascii="Arial" w:hAnsi="Arial" w:cs="Arial"/>
          <w:b/>
        </w:rPr>
        <w:t xml:space="preserve">Rozdělené peníze v roce 2022 podle typu subjektů </w:t>
      </w:r>
    </w:p>
    <w:p w14:paraId="2D6344E6" w14:textId="77777777" w:rsidR="00AE14B1" w:rsidRDefault="00AE14B1" w:rsidP="00AE14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559"/>
        <w:gridCol w:w="3119"/>
        <w:gridCol w:w="1559"/>
      </w:tblGrid>
      <w:tr w:rsidR="00A97D48" w:rsidRPr="00A97D48" w14:paraId="50FC5FFB" w14:textId="77777777" w:rsidTr="00A97D48">
        <w:trPr>
          <w:trHeight w:val="640"/>
          <w:jc w:val="center"/>
        </w:trPr>
        <w:tc>
          <w:tcPr>
            <w:tcW w:w="3109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4472C4" w:fill="4472C4"/>
            <w:vAlign w:val="bottom"/>
            <w:hideMark/>
          </w:tcPr>
          <w:p w14:paraId="1714EB5F" w14:textId="77777777" w:rsidR="00A97D48" w:rsidRPr="00A97D48" w:rsidRDefault="00A97D48" w:rsidP="00FA4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Právní forma příjemců podpory</w:t>
            </w:r>
          </w:p>
        </w:tc>
        <w:tc>
          <w:tcPr>
            <w:tcW w:w="1559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4472C4" w:fill="4472C4"/>
            <w:vAlign w:val="bottom"/>
            <w:hideMark/>
          </w:tcPr>
          <w:p w14:paraId="1896556F" w14:textId="77777777" w:rsidR="00A97D48" w:rsidRPr="00A97D48" w:rsidRDefault="00A97D48" w:rsidP="00A97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Počet žádostí o platbu</w:t>
            </w:r>
          </w:p>
        </w:tc>
        <w:tc>
          <w:tcPr>
            <w:tcW w:w="3119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4472C4" w:fill="4472C4"/>
            <w:vAlign w:val="bottom"/>
            <w:hideMark/>
          </w:tcPr>
          <w:p w14:paraId="5A584675" w14:textId="77777777" w:rsidR="00A97D48" w:rsidRPr="00A97D48" w:rsidRDefault="00A97D48" w:rsidP="00A97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Schválené Žádosti o platbu celkem (Příspěvek EU v Kč)</w:t>
            </w:r>
          </w:p>
        </w:tc>
        <w:tc>
          <w:tcPr>
            <w:tcW w:w="1559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4472C4" w:fill="4472C4"/>
            <w:vAlign w:val="bottom"/>
            <w:hideMark/>
          </w:tcPr>
          <w:p w14:paraId="0793ED1F" w14:textId="75C78308" w:rsidR="00A97D48" w:rsidRPr="00A97D48" w:rsidRDefault="00A97D48" w:rsidP="00A97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Podíl na celkovém objemu</w:t>
            </w:r>
          </w:p>
        </w:tc>
      </w:tr>
      <w:tr w:rsidR="00A97D48" w:rsidRPr="00A97D48" w14:paraId="7F621C26" w14:textId="77777777" w:rsidTr="00A97D48">
        <w:trPr>
          <w:trHeight w:val="300"/>
          <w:jc w:val="center"/>
        </w:trPr>
        <w:tc>
          <w:tcPr>
            <w:tcW w:w="3109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EFFB" w14:textId="4B0439FC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1559" w:type="dxa"/>
            <w:tcBorders>
              <w:top w:val="single" w:sz="8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5B2E" w14:textId="31E1C3D1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B75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119" w:type="dxa"/>
            <w:tcBorders>
              <w:top w:val="single" w:sz="8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DC3D" w14:textId="3D21F7E7" w:rsidR="00A97D48" w:rsidRPr="00A97D48" w:rsidRDefault="00B51A1C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8 031 546 882,6 Kč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B68D28B" w14:textId="7F745F2B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  <w:r w:rsidR="00754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A97D48" w:rsidRPr="00A97D48" w14:paraId="0506835E" w14:textId="77777777" w:rsidTr="00A97D48">
        <w:trPr>
          <w:trHeight w:val="300"/>
          <w:jc w:val="center"/>
        </w:trPr>
        <w:tc>
          <w:tcPr>
            <w:tcW w:w="3109" w:type="dxa"/>
            <w:tcBorders>
              <w:top w:val="single" w:sz="4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CF2B" w14:textId="6519C0C9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9E15" w14:textId="5B301DA0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B75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166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500A" w14:textId="5FED729E" w:rsidR="00A97D48" w:rsidRPr="00A97D48" w:rsidRDefault="00022F85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2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5 548 751 718,6 Kč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1E26341" w14:textId="2E73E59D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  <w:r w:rsidR="00754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A97D48" w:rsidRPr="00A97D48" w14:paraId="40C4583E" w14:textId="77777777" w:rsidTr="00A97D48">
        <w:trPr>
          <w:trHeight w:val="300"/>
          <w:jc w:val="center"/>
        </w:trPr>
        <w:tc>
          <w:tcPr>
            <w:tcW w:w="3109" w:type="dxa"/>
            <w:tcBorders>
              <w:top w:val="single" w:sz="4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5CF3" w14:textId="30626D34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anizační</w:t>
            </w: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složky státu, státní přísp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ěvkové</w:t>
            </w: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organizace aj.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D222" w14:textId="3352FC07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B75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45DC" w14:textId="119B7036" w:rsidR="00A97D48" w:rsidRPr="00A97D48" w:rsidRDefault="00022F85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2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2 680 562 570,9 Kč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182C4C9" w14:textId="132C8F07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754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 </w:t>
            </w: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A97D48" w:rsidRPr="00A97D48" w14:paraId="40572B67" w14:textId="77777777" w:rsidTr="00A97D48">
        <w:trPr>
          <w:trHeight w:val="300"/>
          <w:jc w:val="center"/>
        </w:trPr>
        <w:tc>
          <w:tcPr>
            <w:tcW w:w="3109" w:type="dxa"/>
            <w:tcBorders>
              <w:top w:val="single" w:sz="4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2880" w14:textId="77777777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Soukromý sektor (a.s., s.r.o., FO)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9882" w14:textId="2F77B6FE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B51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7D2E" w14:textId="1EB3F1A3" w:rsidR="00A97D48" w:rsidRPr="00A97D48" w:rsidRDefault="00022F85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2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1 187 258 651,2 Kč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4AA3243" w14:textId="413695BD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  <w:r w:rsidR="00754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A97D48" w:rsidRPr="00A97D48" w14:paraId="000CA27A" w14:textId="77777777" w:rsidTr="00A97D48">
        <w:trPr>
          <w:trHeight w:val="300"/>
          <w:jc w:val="center"/>
        </w:trPr>
        <w:tc>
          <w:tcPr>
            <w:tcW w:w="3109" w:type="dxa"/>
            <w:tcBorders>
              <w:top w:val="single" w:sz="4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DA05" w14:textId="77777777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SVJ a bytová družstva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D639" w14:textId="7849B900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B51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0B77" w14:textId="3F4B3D72" w:rsidR="00A97D48" w:rsidRPr="00A97D48" w:rsidRDefault="00022F85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2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965 670 794,2 Kč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72FCE5C" w14:textId="661B428F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754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A97D48" w:rsidRPr="00A97D48" w14:paraId="55701DD3" w14:textId="77777777" w:rsidTr="00A97D48">
        <w:trPr>
          <w:trHeight w:val="300"/>
          <w:jc w:val="center"/>
        </w:trPr>
        <w:tc>
          <w:tcPr>
            <w:tcW w:w="3109" w:type="dxa"/>
            <w:tcBorders>
              <w:top w:val="single" w:sz="4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C9F4" w14:textId="77777777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9937" w14:textId="44810F69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B51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B91C" w14:textId="2639168C" w:rsidR="00A97D48" w:rsidRPr="00A97D48" w:rsidRDefault="00022F85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2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879 382 719,4 Kč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41930C1" w14:textId="3ED54C0E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754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A97D48" w:rsidRPr="00A97D48" w14:paraId="6D14F018" w14:textId="77777777" w:rsidTr="00A97D48">
        <w:trPr>
          <w:trHeight w:val="300"/>
          <w:jc w:val="center"/>
        </w:trPr>
        <w:tc>
          <w:tcPr>
            <w:tcW w:w="3109" w:type="dxa"/>
            <w:tcBorders>
              <w:top w:val="single" w:sz="4" w:space="0" w:color="4472C4"/>
              <w:left w:val="single" w:sz="8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0CF5" w14:textId="77777777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Církevní instituce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DCA9" w14:textId="7722C5CF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  <w:r w:rsidR="00B51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0813" w14:textId="0C0B84F2" w:rsidR="00A97D48" w:rsidRPr="00A97D48" w:rsidRDefault="0039479D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761 689 265,1 Kč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8D6A216" w14:textId="17D38257" w:rsidR="00A97D48" w:rsidRPr="00A97D48" w:rsidRDefault="00A97D48" w:rsidP="00A97D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754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9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A97D48" w:rsidRPr="00A97D48" w14:paraId="599056D8" w14:textId="77777777" w:rsidTr="00A97D48">
        <w:trPr>
          <w:trHeight w:val="300"/>
          <w:jc w:val="center"/>
        </w:trPr>
        <w:tc>
          <w:tcPr>
            <w:tcW w:w="3109" w:type="dxa"/>
            <w:tcBorders>
              <w:top w:val="double" w:sz="6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74BBB35" w14:textId="77777777" w:rsidR="00A97D48" w:rsidRPr="00A97D48" w:rsidRDefault="00A97D48" w:rsidP="00A9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uble" w:sz="6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F59CF13" w14:textId="77777777" w:rsidR="00A97D48" w:rsidRPr="00A97D48" w:rsidRDefault="00A97D48" w:rsidP="00A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double" w:sz="6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369D82F" w14:textId="30F7FD60" w:rsidR="00A97D48" w:rsidRPr="00A97D48" w:rsidRDefault="0039479D" w:rsidP="00A97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4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20 054 862 602,2 Kč</w:t>
            </w:r>
          </w:p>
        </w:tc>
        <w:tc>
          <w:tcPr>
            <w:tcW w:w="1559" w:type="dxa"/>
            <w:tcBorders>
              <w:top w:val="double" w:sz="6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E97331B" w14:textId="77777777" w:rsidR="00A97D48" w:rsidRPr="00A97D48" w:rsidRDefault="00A97D48" w:rsidP="00A97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FA940A6" w14:textId="77777777" w:rsidR="00F42DE5" w:rsidRDefault="00F42DE5" w:rsidP="00AE14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FC9C86D" w14:textId="34376F4E" w:rsidR="00FF72F9" w:rsidRPr="000834FC" w:rsidRDefault="00FF72F9" w:rsidP="00E328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0834FC">
        <w:rPr>
          <w:rFonts w:ascii="Arial" w:hAnsi="Arial" w:cs="Arial"/>
          <w:b/>
          <w:bCs/>
        </w:rPr>
        <w:t>Zdroj: Centrum pro regionální rozvoj České republiky</w:t>
      </w:r>
    </w:p>
    <w:p w14:paraId="725069F6" w14:textId="77777777" w:rsidR="00FF72F9" w:rsidRPr="000834FC" w:rsidRDefault="00FF72F9" w:rsidP="00815648">
      <w:pPr>
        <w:spacing w:after="0" w:line="240" w:lineRule="auto"/>
        <w:jc w:val="both"/>
        <w:rPr>
          <w:rFonts w:ascii="Arial" w:hAnsi="Arial" w:cs="Arial"/>
          <w:bCs/>
        </w:rPr>
      </w:pPr>
    </w:p>
    <w:p w14:paraId="12C4C081" w14:textId="77777777" w:rsidR="00FA4D68" w:rsidRPr="000834FC" w:rsidRDefault="00FA4D68" w:rsidP="00815648">
      <w:pPr>
        <w:spacing w:after="0" w:line="240" w:lineRule="auto"/>
        <w:jc w:val="both"/>
        <w:rPr>
          <w:rFonts w:ascii="Arial" w:hAnsi="Arial" w:cs="Arial"/>
          <w:bCs/>
        </w:rPr>
      </w:pPr>
    </w:p>
    <w:p w14:paraId="7DF2582D" w14:textId="3B6EC704" w:rsidR="00A97D48" w:rsidRPr="000834FC" w:rsidRDefault="00A97D48" w:rsidP="00815648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0834FC">
        <w:rPr>
          <w:rFonts w:ascii="Arial" w:hAnsi="Arial" w:cs="Arial"/>
          <w:bCs/>
        </w:rPr>
        <w:t xml:space="preserve">Na soukromý sektor zbylo 6 % prostředků, </w:t>
      </w:r>
      <w:r w:rsidR="000E332C" w:rsidRPr="000834FC">
        <w:rPr>
          <w:rFonts w:ascii="Arial" w:hAnsi="Arial" w:cs="Arial"/>
          <w:bCs/>
        </w:rPr>
        <w:t xml:space="preserve">do </w:t>
      </w:r>
      <w:r w:rsidRPr="000834FC">
        <w:rPr>
          <w:rFonts w:ascii="Arial" w:hAnsi="Arial" w:cs="Arial"/>
          <w:bCs/>
        </w:rPr>
        <w:t>neziskov</w:t>
      </w:r>
      <w:r w:rsidR="00CE4EDD" w:rsidRPr="000834FC">
        <w:rPr>
          <w:rFonts w:ascii="Arial" w:hAnsi="Arial" w:cs="Arial"/>
          <w:bCs/>
        </w:rPr>
        <w:t>ého</w:t>
      </w:r>
      <w:r w:rsidRPr="000834FC">
        <w:rPr>
          <w:rFonts w:ascii="Arial" w:hAnsi="Arial" w:cs="Arial"/>
          <w:bCs/>
        </w:rPr>
        <w:t xml:space="preserve"> sektor</w:t>
      </w:r>
      <w:r w:rsidR="000E332C" w:rsidRPr="000834FC">
        <w:rPr>
          <w:rFonts w:ascii="Arial" w:hAnsi="Arial" w:cs="Arial"/>
          <w:bCs/>
        </w:rPr>
        <w:t xml:space="preserve">u </w:t>
      </w:r>
      <w:r w:rsidR="00FA4D68" w:rsidRPr="000834FC">
        <w:rPr>
          <w:rFonts w:ascii="Arial" w:hAnsi="Arial" w:cs="Arial"/>
          <w:bCs/>
        </w:rPr>
        <w:t xml:space="preserve">pak </w:t>
      </w:r>
      <w:r w:rsidR="00E97D53" w:rsidRPr="000834FC">
        <w:rPr>
          <w:rFonts w:ascii="Arial" w:hAnsi="Arial" w:cs="Arial"/>
          <w:bCs/>
        </w:rPr>
        <w:t>mířil</w:t>
      </w:r>
      <w:r w:rsidR="00E97D53">
        <w:rPr>
          <w:rFonts w:ascii="Arial" w:hAnsi="Arial" w:cs="Arial"/>
          <w:bCs/>
        </w:rPr>
        <w:t>a</w:t>
      </w:r>
      <w:r w:rsidR="00E97D53" w:rsidRPr="000834FC">
        <w:rPr>
          <w:rFonts w:ascii="Arial" w:hAnsi="Arial" w:cs="Arial"/>
          <w:bCs/>
        </w:rPr>
        <w:t xml:space="preserve"> </w:t>
      </w:r>
      <w:r w:rsidRPr="000834FC">
        <w:rPr>
          <w:rFonts w:ascii="Arial" w:hAnsi="Arial" w:cs="Arial"/>
          <w:bCs/>
        </w:rPr>
        <w:t>4 %, církevní instituce</w:t>
      </w:r>
      <w:r w:rsidR="000E332C" w:rsidRPr="000834FC">
        <w:rPr>
          <w:rFonts w:ascii="Arial" w:hAnsi="Arial" w:cs="Arial"/>
          <w:bCs/>
        </w:rPr>
        <w:t xml:space="preserve"> získaly na investice lehce přes tři čtvrtě miliardy</w:t>
      </w:r>
      <w:r w:rsidRPr="000834FC">
        <w:rPr>
          <w:rFonts w:ascii="Arial" w:hAnsi="Arial" w:cs="Arial"/>
          <w:bCs/>
        </w:rPr>
        <w:t xml:space="preserve">. </w:t>
      </w:r>
      <w:r w:rsidR="000E332C" w:rsidRPr="000834FC">
        <w:rPr>
          <w:rFonts w:ascii="Arial" w:hAnsi="Arial" w:cs="Arial"/>
          <w:bCs/>
          <w:i/>
          <w:iCs/>
        </w:rPr>
        <w:t xml:space="preserve">„Většina z těchto prostředků </w:t>
      </w:r>
      <w:r w:rsidR="00E97D53">
        <w:rPr>
          <w:rFonts w:ascii="Arial" w:hAnsi="Arial" w:cs="Arial"/>
          <w:bCs/>
          <w:i/>
          <w:iCs/>
        </w:rPr>
        <w:t>se</w:t>
      </w:r>
      <w:r w:rsidR="00E97D53" w:rsidRPr="000834FC">
        <w:rPr>
          <w:rFonts w:ascii="Arial" w:hAnsi="Arial" w:cs="Arial"/>
          <w:bCs/>
          <w:i/>
          <w:iCs/>
        </w:rPr>
        <w:t xml:space="preserve"> použi</w:t>
      </w:r>
      <w:r w:rsidR="00E97D53">
        <w:rPr>
          <w:rFonts w:ascii="Arial" w:hAnsi="Arial" w:cs="Arial"/>
          <w:bCs/>
          <w:i/>
          <w:iCs/>
        </w:rPr>
        <w:t>l</w:t>
      </w:r>
      <w:r w:rsidR="00E97D53" w:rsidRPr="000834FC">
        <w:rPr>
          <w:rFonts w:ascii="Arial" w:hAnsi="Arial" w:cs="Arial"/>
          <w:bCs/>
          <w:i/>
          <w:iCs/>
        </w:rPr>
        <w:t xml:space="preserve">a </w:t>
      </w:r>
      <w:r w:rsidR="000E332C" w:rsidRPr="000834FC">
        <w:rPr>
          <w:rFonts w:ascii="Arial" w:hAnsi="Arial" w:cs="Arial"/>
          <w:bCs/>
          <w:i/>
          <w:iCs/>
        </w:rPr>
        <w:t>na opravy historických památek. V případě neziskového sektoru peníze pomohly hlavně v sociáln</w:t>
      </w:r>
      <w:r w:rsidR="00FA4D68" w:rsidRPr="000834FC">
        <w:rPr>
          <w:rFonts w:ascii="Arial" w:hAnsi="Arial" w:cs="Arial"/>
          <w:bCs/>
          <w:i/>
          <w:iCs/>
        </w:rPr>
        <w:t>í sféře. Typickým žadatelem byly</w:t>
      </w:r>
      <w:r w:rsidR="000E332C" w:rsidRPr="000834FC">
        <w:rPr>
          <w:rFonts w:ascii="Arial" w:hAnsi="Arial" w:cs="Arial"/>
          <w:bCs/>
          <w:i/>
          <w:iCs/>
        </w:rPr>
        <w:t xml:space="preserve"> charit</w:t>
      </w:r>
      <w:r w:rsidR="00FA4D68" w:rsidRPr="000834FC">
        <w:rPr>
          <w:rFonts w:ascii="Arial" w:hAnsi="Arial" w:cs="Arial"/>
          <w:bCs/>
          <w:i/>
          <w:iCs/>
        </w:rPr>
        <w:t>y a sociální služby obcí a krajů, které</w:t>
      </w:r>
      <w:r w:rsidR="000E332C" w:rsidRPr="000834FC">
        <w:rPr>
          <w:rFonts w:ascii="Arial" w:hAnsi="Arial" w:cs="Arial"/>
          <w:bCs/>
          <w:i/>
          <w:iCs/>
        </w:rPr>
        <w:t xml:space="preserve"> </w:t>
      </w:r>
      <w:r w:rsidR="000E332C" w:rsidRPr="000834FC">
        <w:rPr>
          <w:rFonts w:ascii="Arial" w:hAnsi="Arial" w:cs="Arial"/>
          <w:bCs/>
          <w:i/>
          <w:iCs/>
        </w:rPr>
        <w:lastRenderedPageBreak/>
        <w:t xml:space="preserve">díky evropským penězům </w:t>
      </w:r>
      <w:r w:rsidR="00FA4D68" w:rsidRPr="000834FC">
        <w:rPr>
          <w:rFonts w:ascii="Arial" w:hAnsi="Arial" w:cs="Arial"/>
          <w:bCs/>
          <w:i/>
          <w:iCs/>
        </w:rPr>
        <w:t>z IROP rozšířily nebo zkvalitnily</w:t>
      </w:r>
      <w:r w:rsidR="000E332C" w:rsidRPr="000834FC">
        <w:rPr>
          <w:rFonts w:ascii="Arial" w:hAnsi="Arial" w:cs="Arial"/>
          <w:bCs/>
          <w:i/>
          <w:iCs/>
        </w:rPr>
        <w:t xml:space="preserve"> pomoc</w:t>
      </w:r>
      <w:r w:rsidR="00311C3E">
        <w:rPr>
          <w:rFonts w:ascii="Arial" w:hAnsi="Arial" w:cs="Arial"/>
          <w:bCs/>
          <w:i/>
          <w:iCs/>
        </w:rPr>
        <w:t xml:space="preserve"> </w:t>
      </w:r>
      <w:r w:rsidR="000E332C" w:rsidRPr="000834FC">
        <w:rPr>
          <w:rFonts w:ascii="Arial" w:hAnsi="Arial" w:cs="Arial"/>
          <w:bCs/>
          <w:i/>
          <w:iCs/>
        </w:rPr>
        <w:t>lidem</w:t>
      </w:r>
      <w:r w:rsidR="00311C3E">
        <w:rPr>
          <w:rFonts w:ascii="Arial" w:hAnsi="Arial" w:cs="Arial"/>
          <w:bCs/>
          <w:i/>
          <w:iCs/>
        </w:rPr>
        <w:t xml:space="preserve"> v nouzi</w:t>
      </w:r>
      <w:r w:rsidR="000E332C" w:rsidRPr="000834FC">
        <w:rPr>
          <w:rFonts w:ascii="Arial" w:hAnsi="Arial" w:cs="Arial"/>
          <w:bCs/>
          <w:i/>
          <w:iCs/>
        </w:rPr>
        <w:t>,“</w:t>
      </w:r>
      <w:r w:rsidR="000E332C" w:rsidRPr="000834FC">
        <w:rPr>
          <w:rFonts w:ascii="Arial" w:hAnsi="Arial" w:cs="Arial"/>
          <w:bCs/>
        </w:rPr>
        <w:t xml:space="preserve"> říká Helena Miškovičová, ředitelka sekce IROP Centra pro regionální rozvoj ČR.</w:t>
      </w:r>
      <w:r w:rsidR="000E332C" w:rsidRPr="000834FC">
        <w:rPr>
          <w:rFonts w:ascii="Arial" w:hAnsi="Arial" w:cs="Arial"/>
          <w:bCs/>
          <w:i/>
          <w:iCs/>
        </w:rPr>
        <w:t xml:space="preserve"> </w:t>
      </w:r>
    </w:p>
    <w:p w14:paraId="3B34E6E6" w14:textId="77777777" w:rsidR="00A73082" w:rsidRPr="000834FC" w:rsidRDefault="00A73082" w:rsidP="00815648">
      <w:pPr>
        <w:spacing w:after="0" w:line="240" w:lineRule="auto"/>
        <w:jc w:val="both"/>
        <w:rPr>
          <w:rFonts w:ascii="Arial" w:hAnsi="Arial" w:cs="Arial"/>
          <w:bCs/>
        </w:rPr>
      </w:pPr>
    </w:p>
    <w:p w14:paraId="358DF8F1" w14:textId="045341CF" w:rsidR="00D56C61" w:rsidRPr="000834FC" w:rsidRDefault="00A73082" w:rsidP="00815648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 xml:space="preserve">Ukázky </w:t>
      </w:r>
      <w:r w:rsidR="00311C3E">
        <w:rPr>
          <w:rFonts w:ascii="Arial" w:hAnsi="Arial" w:cs="Arial"/>
          <w:bCs/>
        </w:rPr>
        <w:t>realizovaných</w:t>
      </w:r>
      <w:r w:rsidRPr="000834FC">
        <w:rPr>
          <w:rFonts w:ascii="Arial" w:hAnsi="Arial" w:cs="Arial"/>
          <w:bCs/>
        </w:rPr>
        <w:t xml:space="preserve"> projektů jsou dostupné na webové stránce Regionynasbavi.cz. Všechny</w:t>
      </w:r>
      <w:r w:rsidR="00311C3E">
        <w:rPr>
          <w:rFonts w:ascii="Arial" w:hAnsi="Arial" w:cs="Arial"/>
          <w:bCs/>
        </w:rPr>
        <w:t xml:space="preserve"> podpořené</w:t>
      </w:r>
      <w:r w:rsidRPr="000834FC">
        <w:rPr>
          <w:rFonts w:ascii="Arial" w:hAnsi="Arial" w:cs="Arial"/>
          <w:bCs/>
        </w:rPr>
        <w:t xml:space="preserve"> projekty jsou pak na </w:t>
      </w:r>
      <w:r w:rsidR="004F75DD">
        <w:rPr>
          <w:rFonts w:ascii="Arial" w:hAnsi="Arial" w:cs="Arial"/>
          <w:bCs/>
        </w:rPr>
        <w:t xml:space="preserve">webových </w:t>
      </w:r>
      <w:r w:rsidRPr="000834FC">
        <w:rPr>
          <w:rFonts w:ascii="Arial" w:hAnsi="Arial" w:cs="Arial"/>
          <w:bCs/>
        </w:rPr>
        <w:t>stránkách Integrovaného regionálního operačního programu</w:t>
      </w:r>
      <w:r w:rsidR="004F75DD">
        <w:rPr>
          <w:rFonts w:ascii="Arial" w:hAnsi="Arial" w:cs="Arial"/>
          <w:bCs/>
        </w:rPr>
        <w:t>:</w:t>
      </w:r>
      <w:r w:rsidRPr="000834FC">
        <w:rPr>
          <w:rFonts w:ascii="Arial" w:hAnsi="Arial" w:cs="Arial"/>
          <w:bCs/>
        </w:rPr>
        <w:t xml:space="preserve"> irop.mmr.cz. </w:t>
      </w:r>
    </w:p>
    <w:p w14:paraId="1BB99FD1" w14:textId="77777777" w:rsidR="00A73082" w:rsidRPr="000834FC" w:rsidRDefault="00A73082" w:rsidP="0081564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49EE70" w14:textId="492854BB" w:rsidR="00D472BC" w:rsidRPr="000834FC" w:rsidRDefault="00172707" w:rsidP="00D472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834FC">
        <w:rPr>
          <w:rFonts w:ascii="Arial" w:hAnsi="Arial" w:cs="Arial"/>
          <w:b/>
          <w:bCs/>
        </w:rPr>
        <w:t>Pro více informací můžete kontaktovat:</w:t>
      </w:r>
    </w:p>
    <w:p w14:paraId="663CE1A8" w14:textId="77777777" w:rsidR="000E332C" w:rsidRPr="000834FC" w:rsidRDefault="000E332C" w:rsidP="00D472BC">
      <w:pPr>
        <w:spacing w:after="0" w:line="240" w:lineRule="auto"/>
        <w:jc w:val="both"/>
        <w:rPr>
          <w:rFonts w:ascii="Arial" w:hAnsi="Arial" w:cs="Arial"/>
          <w:bCs/>
        </w:rPr>
      </w:pPr>
    </w:p>
    <w:p w14:paraId="34742EC5" w14:textId="6B52E58A" w:rsidR="00D472BC" w:rsidRPr="000834FC" w:rsidRDefault="00FF72F9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Markéta Reedová</w:t>
      </w:r>
    </w:p>
    <w:p w14:paraId="0E925E51" w14:textId="03F2103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Vedoucí komunikace CRR</w:t>
      </w:r>
    </w:p>
    <w:p w14:paraId="7864EE1C" w14:textId="2233077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marketa.reedova@crr.cz</w:t>
      </w:r>
    </w:p>
    <w:p w14:paraId="79CDF82C" w14:textId="43C0A6D2" w:rsidR="00FF72F9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tel.: 606 616 297</w:t>
      </w:r>
    </w:p>
    <w:p w14:paraId="4ECF4930" w14:textId="77777777" w:rsidR="009F19C1" w:rsidRDefault="009F19C1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CCA7FF" w14:textId="77777777" w:rsidR="000D2F66" w:rsidRDefault="000D2F66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32C887" w14:textId="62A6750F" w:rsidR="00172707" w:rsidRPr="00FA4D68" w:rsidRDefault="00D472BC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4D68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FA4D68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3F4A9FB" w14:textId="77777777" w:rsidR="00172707" w:rsidRPr="00FA4D68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C967C" w14:textId="199916D0" w:rsidR="006A1545" w:rsidRPr="00FA4D68" w:rsidRDefault="00172707" w:rsidP="004104DB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FA4D68">
        <w:rPr>
          <w:rFonts w:ascii="Arial" w:hAnsi="Arial" w:cs="Arial"/>
          <w:sz w:val="20"/>
          <w:szCs w:val="20"/>
        </w:rPr>
        <w:t>Centrum pro regionální rozvoj České republiky (</w:t>
      </w:r>
      <w:hyperlink r:id="rId8" w:history="1">
        <w:r w:rsidRPr="00FA4D68">
          <w:rPr>
            <w:rStyle w:val="Hypertextovodkaz"/>
            <w:rFonts w:ascii="Arial" w:hAnsi="Arial" w:cs="Arial"/>
            <w:i/>
            <w:sz w:val="20"/>
            <w:szCs w:val="20"/>
          </w:rPr>
          <w:t>www.crr.cz</w:t>
        </w:r>
      </w:hyperlink>
      <w:r w:rsidRPr="00FA4D68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FA4D68">
        <w:rPr>
          <w:rFonts w:ascii="Arial" w:hAnsi="Arial" w:cs="Arial"/>
          <w:sz w:val="20"/>
          <w:szCs w:val="20"/>
        </w:rPr>
        <w:t xml:space="preserve">Už </w:t>
      </w:r>
      <w:r w:rsidRPr="00FA4D68">
        <w:rPr>
          <w:rFonts w:ascii="Arial" w:hAnsi="Arial" w:cs="Arial"/>
          <w:sz w:val="20"/>
          <w:szCs w:val="20"/>
        </w:rPr>
        <w:t>od roku 1996 je </w:t>
      </w:r>
      <w:r w:rsidR="00CA401B" w:rsidRPr="00FA4D68">
        <w:rPr>
          <w:rFonts w:ascii="Arial" w:hAnsi="Arial" w:cs="Arial"/>
          <w:sz w:val="20"/>
          <w:szCs w:val="20"/>
        </w:rPr>
        <w:t xml:space="preserve">její </w:t>
      </w:r>
      <w:r w:rsidRPr="00FA4D68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9" w:tooltip="Enterprise Europe Network" w:history="1">
        <w:r w:rsidRPr="00FA4D68">
          <w:rPr>
            <w:rStyle w:val="Hypertextovodkaz"/>
            <w:rFonts w:ascii="Arial" w:hAnsi="Arial" w:cs="Arial"/>
            <w:sz w:val="20"/>
            <w:szCs w:val="20"/>
          </w:rPr>
          <w:t>Enterprise Europe Network</w:t>
        </w:r>
      </w:hyperlink>
      <w:r w:rsidRPr="00FA4D68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FA4D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4D68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FA4D68">
        <w:rPr>
          <w:rFonts w:ascii="Arial" w:hAnsi="Arial" w:cs="Arial"/>
          <w:sz w:val="20"/>
          <w:szCs w:val="20"/>
        </w:rPr>
        <w:t>a zároveň udržet vysokou úroveň kvality práce</w:t>
      </w:r>
      <w:r w:rsidRPr="00FA4D68">
        <w:rPr>
          <w:rFonts w:ascii="Arial" w:hAnsi="Arial" w:cs="Arial"/>
          <w:sz w:val="20"/>
          <w:szCs w:val="20"/>
        </w:rPr>
        <w:t xml:space="preserve">. </w:t>
      </w:r>
    </w:p>
    <w:sectPr w:rsidR="006A1545" w:rsidRPr="00FA4D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B342" w14:textId="77777777" w:rsidR="00194BB7" w:rsidRDefault="00194BB7" w:rsidP="00950BCA">
      <w:pPr>
        <w:spacing w:after="0" w:line="240" w:lineRule="auto"/>
      </w:pPr>
      <w:r>
        <w:separator/>
      </w:r>
    </w:p>
  </w:endnote>
  <w:endnote w:type="continuationSeparator" w:id="0">
    <w:p w14:paraId="1C0AA981" w14:textId="77777777" w:rsidR="00194BB7" w:rsidRDefault="00194BB7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18E" w14:textId="77777777" w:rsidR="000834FC" w:rsidRPr="00FE310E" w:rsidRDefault="000834FC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Pr="00FE310E">
        <w:rPr>
          <w:rStyle w:val="Hypertextovodkaz"/>
          <w:rFonts w:ascii="Arial" w:hAnsi="Arial" w:cs="Arial"/>
          <w:sz w:val="20"/>
          <w:szCs w:val="20"/>
        </w:rPr>
        <w:t>www.crr.cz</w:t>
      </w:r>
    </w:hyperlink>
  </w:p>
  <w:p w14:paraId="1E3159DB" w14:textId="413F33D6" w:rsidR="000834FC" w:rsidRPr="00FE310E" w:rsidRDefault="000834FC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E8CF" w14:textId="77777777" w:rsidR="00194BB7" w:rsidRDefault="00194BB7" w:rsidP="00950BCA">
      <w:pPr>
        <w:spacing w:after="0" w:line="240" w:lineRule="auto"/>
      </w:pPr>
      <w:r>
        <w:separator/>
      </w:r>
    </w:p>
  </w:footnote>
  <w:footnote w:type="continuationSeparator" w:id="0">
    <w:p w14:paraId="034CB977" w14:textId="77777777" w:rsidR="00194BB7" w:rsidRDefault="00194BB7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EB8" w14:textId="64E95DE6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1A2014D" wp14:editId="21FDE138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596515" cy="77406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7E9">
      <w:rPr>
        <w:rFonts w:ascii="Arial" w:hAnsi="Arial" w:cs="Arial"/>
        <w:sz w:val="20"/>
        <w:szCs w:val="20"/>
      </w:rPr>
      <w:t>Tisková zpráva</w:t>
    </w:r>
  </w:p>
  <w:p w14:paraId="1625D296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0834FC" w:rsidRPr="00FD17E9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03700">
    <w:abstractNumId w:val="0"/>
  </w:num>
  <w:num w:numId="2" w16cid:durableId="154949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CA"/>
    <w:rsid w:val="00002CEF"/>
    <w:rsid w:val="00011B54"/>
    <w:rsid w:val="00022F85"/>
    <w:rsid w:val="00026589"/>
    <w:rsid w:val="00035385"/>
    <w:rsid w:val="00043AFF"/>
    <w:rsid w:val="000802ED"/>
    <w:rsid w:val="000834FC"/>
    <w:rsid w:val="000A0A9E"/>
    <w:rsid w:val="000A5CC7"/>
    <w:rsid w:val="000B1F25"/>
    <w:rsid w:val="000C6384"/>
    <w:rsid w:val="000D2F66"/>
    <w:rsid w:val="000E332C"/>
    <w:rsid w:val="000E5559"/>
    <w:rsid w:val="000F2C01"/>
    <w:rsid w:val="001111C2"/>
    <w:rsid w:val="00125EC7"/>
    <w:rsid w:val="00143FBD"/>
    <w:rsid w:val="00172707"/>
    <w:rsid w:val="00194BB7"/>
    <w:rsid w:val="0019627E"/>
    <w:rsid w:val="001B4332"/>
    <w:rsid w:val="001C2B83"/>
    <w:rsid w:val="001D055A"/>
    <w:rsid w:val="001D2D99"/>
    <w:rsid w:val="001F0ADE"/>
    <w:rsid w:val="002011E4"/>
    <w:rsid w:val="00205410"/>
    <w:rsid w:val="00236E51"/>
    <w:rsid w:val="0024425F"/>
    <w:rsid w:val="00250986"/>
    <w:rsid w:val="00250E1D"/>
    <w:rsid w:val="002759BA"/>
    <w:rsid w:val="002909E3"/>
    <w:rsid w:val="00293107"/>
    <w:rsid w:val="002A4D35"/>
    <w:rsid w:val="002B537D"/>
    <w:rsid w:val="002D4F80"/>
    <w:rsid w:val="002D654F"/>
    <w:rsid w:val="002F25AE"/>
    <w:rsid w:val="003041C5"/>
    <w:rsid w:val="0031025D"/>
    <w:rsid w:val="00311C3E"/>
    <w:rsid w:val="00321C0D"/>
    <w:rsid w:val="00336D47"/>
    <w:rsid w:val="00341D99"/>
    <w:rsid w:val="003525C4"/>
    <w:rsid w:val="00360AC2"/>
    <w:rsid w:val="003832D5"/>
    <w:rsid w:val="0038531F"/>
    <w:rsid w:val="0039479D"/>
    <w:rsid w:val="003A3D4D"/>
    <w:rsid w:val="003D0D5B"/>
    <w:rsid w:val="00400659"/>
    <w:rsid w:val="004010C9"/>
    <w:rsid w:val="00404DE0"/>
    <w:rsid w:val="004104DB"/>
    <w:rsid w:val="004175A9"/>
    <w:rsid w:val="00436663"/>
    <w:rsid w:val="00437C87"/>
    <w:rsid w:val="0044752E"/>
    <w:rsid w:val="004617FF"/>
    <w:rsid w:val="00462175"/>
    <w:rsid w:val="00465D45"/>
    <w:rsid w:val="00470A90"/>
    <w:rsid w:val="004765C7"/>
    <w:rsid w:val="00477C52"/>
    <w:rsid w:val="004C7001"/>
    <w:rsid w:val="004D160F"/>
    <w:rsid w:val="004F261F"/>
    <w:rsid w:val="004F2EBE"/>
    <w:rsid w:val="004F75DD"/>
    <w:rsid w:val="00500031"/>
    <w:rsid w:val="00501102"/>
    <w:rsid w:val="00501838"/>
    <w:rsid w:val="00504C16"/>
    <w:rsid w:val="00504CCF"/>
    <w:rsid w:val="00517705"/>
    <w:rsid w:val="00531DF7"/>
    <w:rsid w:val="005327D3"/>
    <w:rsid w:val="00535DD7"/>
    <w:rsid w:val="00586CEF"/>
    <w:rsid w:val="00587E31"/>
    <w:rsid w:val="005B4685"/>
    <w:rsid w:val="005B540D"/>
    <w:rsid w:val="005B69C2"/>
    <w:rsid w:val="005D00AD"/>
    <w:rsid w:val="005E0224"/>
    <w:rsid w:val="005F0F0F"/>
    <w:rsid w:val="00603D61"/>
    <w:rsid w:val="00604D3A"/>
    <w:rsid w:val="0060673E"/>
    <w:rsid w:val="00607600"/>
    <w:rsid w:val="00617EFB"/>
    <w:rsid w:val="00631338"/>
    <w:rsid w:val="00640F26"/>
    <w:rsid w:val="0066036B"/>
    <w:rsid w:val="00661566"/>
    <w:rsid w:val="00665100"/>
    <w:rsid w:val="006A1545"/>
    <w:rsid w:val="006A7577"/>
    <w:rsid w:val="006E10E6"/>
    <w:rsid w:val="00702DB1"/>
    <w:rsid w:val="00740494"/>
    <w:rsid w:val="007447B1"/>
    <w:rsid w:val="00744CCC"/>
    <w:rsid w:val="00754A7A"/>
    <w:rsid w:val="00757EB1"/>
    <w:rsid w:val="007613CD"/>
    <w:rsid w:val="00766024"/>
    <w:rsid w:val="00770FF9"/>
    <w:rsid w:val="00780AFE"/>
    <w:rsid w:val="007819CD"/>
    <w:rsid w:val="0078328A"/>
    <w:rsid w:val="00785FF2"/>
    <w:rsid w:val="00796444"/>
    <w:rsid w:val="007974DF"/>
    <w:rsid w:val="007B1175"/>
    <w:rsid w:val="007B608D"/>
    <w:rsid w:val="007C26D7"/>
    <w:rsid w:val="007C3BB7"/>
    <w:rsid w:val="007D2BE5"/>
    <w:rsid w:val="007D3D60"/>
    <w:rsid w:val="007E186B"/>
    <w:rsid w:val="007E5A56"/>
    <w:rsid w:val="007E612C"/>
    <w:rsid w:val="007E7C04"/>
    <w:rsid w:val="00815648"/>
    <w:rsid w:val="008253A6"/>
    <w:rsid w:val="008338E0"/>
    <w:rsid w:val="008463DB"/>
    <w:rsid w:val="00862C57"/>
    <w:rsid w:val="008734C9"/>
    <w:rsid w:val="00893324"/>
    <w:rsid w:val="008C5207"/>
    <w:rsid w:val="008F223A"/>
    <w:rsid w:val="009153FF"/>
    <w:rsid w:val="009175E8"/>
    <w:rsid w:val="009451DF"/>
    <w:rsid w:val="00950BCA"/>
    <w:rsid w:val="009760B3"/>
    <w:rsid w:val="009847E1"/>
    <w:rsid w:val="00991DD8"/>
    <w:rsid w:val="0099365F"/>
    <w:rsid w:val="009A1E2B"/>
    <w:rsid w:val="009B09C4"/>
    <w:rsid w:val="009C274D"/>
    <w:rsid w:val="009C31CD"/>
    <w:rsid w:val="009E6E68"/>
    <w:rsid w:val="009F19C1"/>
    <w:rsid w:val="00A134DF"/>
    <w:rsid w:val="00A15A11"/>
    <w:rsid w:val="00A43D30"/>
    <w:rsid w:val="00A73082"/>
    <w:rsid w:val="00A90656"/>
    <w:rsid w:val="00A97D48"/>
    <w:rsid w:val="00AE14B1"/>
    <w:rsid w:val="00B454A9"/>
    <w:rsid w:val="00B51A1C"/>
    <w:rsid w:val="00B54D59"/>
    <w:rsid w:val="00B55E16"/>
    <w:rsid w:val="00B75F51"/>
    <w:rsid w:val="00BA55ED"/>
    <w:rsid w:val="00BA7411"/>
    <w:rsid w:val="00BA7697"/>
    <w:rsid w:val="00BD4123"/>
    <w:rsid w:val="00BF1A7F"/>
    <w:rsid w:val="00BF2DF7"/>
    <w:rsid w:val="00C0296A"/>
    <w:rsid w:val="00C04981"/>
    <w:rsid w:val="00C26C93"/>
    <w:rsid w:val="00C47F1B"/>
    <w:rsid w:val="00C52F41"/>
    <w:rsid w:val="00C62D5C"/>
    <w:rsid w:val="00C70567"/>
    <w:rsid w:val="00C82100"/>
    <w:rsid w:val="00C904F3"/>
    <w:rsid w:val="00C9470F"/>
    <w:rsid w:val="00CA401B"/>
    <w:rsid w:val="00CA7CEF"/>
    <w:rsid w:val="00CD6C87"/>
    <w:rsid w:val="00CE4EDD"/>
    <w:rsid w:val="00D17DC9"/>
    <w:rsid w:val="00D2150E"/>
    <w:rsid w:val="00D31054"/>
    <w:rsid w:val="00D31437"/>
    <w:rsid w:val="00D31D27"/>
    <w:rsid w:val="00D33B0F"/>
    <w:rsid w:val="00D44F2D"/>
    <w:rsid w:val="00D472BC"/>
    <w:rsid w:val="00D5452E"/>
    <w:rsid w:val="00D56C61"/>
    <w:rsid w:val="00D708D9"/>
    <w:rsid w:val="00D83587"/>
    <w:rsid w:val="00D8564A"/>
    <w:rsid w:val="00D92179"/>
    <w:rsid w:val="00D9519B"/>
    <w:rsid w:val="00DA42E6"/>
    <w:rsid w:val="00DC3C2E"/>
    <w:rsid w:val="00DC7C74"/>
    <w:rsid w:val="00DF7D13"/>
    <w:rsid w:val="00E10C03"/>
    <w:rsid w:val="00E22642"/>
    <w:rsid w:val="00E23A83"/>
    <w:rsid w:val="00E32288"/>
    <w:rsid w:val="00E328E3"/>
    <w:rsid w:val="00E32A0F"/>
    <w:rsid w:val="00E3497B"/>
    <w:rsid w:val="00E418F4"/>
    <w:rsid w:val="00E5084B"/>
    <w:rsid w:val="00E57C76"/>
    <w:rsid w:val="00E71DB7"/>
    <w:rsid w:val="00E82CB1"/>
    <w:rsid w:val="00E93956"/>
    <w:rsid w:val="00E97241"/>
    <w:rsid w:val="00E975B5"/>
    <w:rsid w:val="00E97D53"/>
    <w:rsid w:val="00EA095E"/>
    <w:rsid w:val="00EA3E46"/>
    <w:rsid w:val="00EB08A8"/>
    <w:rsid w:val="00EC44AC"/>
    <w:rsid w:val="00ED5025"/>
    <w:rsid w:val="00F02C8B"/>
    <w:rsid w:val="00F24635"/>
    <w:rsid w:val="00F24BBD"/>
    <w:rsid w:val="00F2798C"/>
    <w:rsid w:val="00F403F7"/>
    <w:rsid w:val="00F42DE5"/>
    <w:rsid w:val="00F44463"/>
    <w:rsid w:val="00F45A50"/>
    <w:rsid w:val="00FA4D68"/>
    <w:rsid w:val="00FB0ADF"/>
    <w:rsid w:val="00FC4A31"/>
    <w:rsid w:val="00FC6B1C"/>
    <w:rsid w:val="00FD17E9"/>
    <w:rsid w:val="00FD2523"/>
    <w:rsid w:val="00FD362B"/>
    <w:rsid w:val="00FD5441"/>
    <w:rsid w:val="00FE2A99"/>
    <w:rsid w:val="00FE310E"/>
    <w:rsid w:val="00FF0081"/>
    <w:rsid w:val="00FF016C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E9227A77-123D-4D44-A222-D5ECC38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r.cz/cs/podpora-podnikani/een-o-na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ED18-9456-A349-A7A0-A4BFF2D4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User</cp:lastModifiedBy>
  <cp:revision>4</cp:revision>
  <cp:lastPrinted>2023-01-12T15:38:00Z</cp:lastPrinted>
  <dcterms:created xsi:type="dcterms:W3CDTF">2023-01-17T08:09:00Z</dcterms:created>
  <dcterms:modified xsi:type="dcterms:W3CDTF">2023-01-17T10:26:00Z</dcterms:modified>
</cp:coreProperties>
</file>